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66146" w14:textId="77777777" w:rsid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 w:rsidRPr="0001008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LEGE nr. 208 din 23 septembrie 2020 privind modificarea </w:t>
      </w:r>
      <w:proofErr w:type="spellStart"/>
      <w:r w:rsidRPr="0001008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completarea unor acte normative</w:t>
      </w:r>
    </w:p>
    <w:p w14:paraId="09CCC37C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3F949BF1" w14:textId="43E6332A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</w:pPr>
      <w:r w:rsidRPr="00010086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lang w:eastAsia="ro-RO"/>
        </w:rPr>
        <w:drawing>
          <wp:inline distT="0" distB="0" distL="0" distR="0" wp14:anchorId="4B8F648E" wp14:editId="4C646E3F">
            <wp:extent cx="86360" cy="86360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537_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086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(la data 23-Sep-2020 actul a fost promulgata de </w:t>
      </w:r>
      <w:hyperlink r:id="rId5" w:anchor="do" w:history="1">
        <w:r w:rsidRPr="00010086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lang w:eastAsia="ro-RO"/>
          </w:rPr>
          <w:t>Decretul 549/2020</w:t>
        </w:r>
      </w:hyperlink>
      <w:r w:rsidRPr="00010086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 )</w:t>
      </w:r>
    </w:p>
    <w:p w14:paraId="432F420B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pa1"/>
      <w:bookmarkEnd w:id="0"/>
      <w:r w:rsidRPr="00010086">
        <w:rPr>
          <w:rFonts w:ascii="Verdana" w:eastAsia="Times New Roman" w:hAnsi="Verdana" w:cs="Times New Roman"/>
          <w:b/>
          <w:bCs/>
          <w:lang w:eastAsia="ro-RO"/>
        </w:rPr>
        <w:t>Parlamentul României</w:t>
      </w:r>
      <w:r w:rsidRPr="00010086">
        <w:rPr>
          <w:rFonts w:ascii="Verdana" w:eastAsia="Times New Roman" w:hAnsi="Verdana" w:cs="Times New Roman"/>
          <w:lang w:eastAsia="ro-RO"/>
        </w:rPr>
        <w:t xml:space="preserve"> adoptă prezenta lege.</w:t>
      </w:r>
    </w:p>
    <w:p w14:paraId="07058381" w14:textId="70F8730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rI"/>
      <w:r w:rsidRPr="0001008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711871B" wp14:editId="158380FF">
            <wp:extent cx="96520" cy="96520"/>
            <wp:effectExtent l="0" t="0" r="0" b="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010086">
        <w:rPr>
          <w:rFonts w:ascii="Verdana" w:eastAsia="Times New Roman" w:hAnsi="Verdana" w:cs="Times New Roman"/>
          <w:b/>
          <w:bCs/>
          <w:color w:val="0000AF"/>
          <w:lang w:eastAsia="ro-RO"/>
        </w:rPr>
        <w:t>Art. I</w:t>
      </w:r>
    </w:p>
    <w:p w14:paraId="7992A7BA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arI|pa1"/>
      <w:bookmarkEnd w:id="2"/>
      <w:r w:rsidRPr="00010086">
        <w:rPr>
          <w:rFonts w:ascii="Verdana" w:eastAsia="Times New Roman" w:hAnsi="Verdana" w:cs="Times New Roman"/>
          <w:lang w:eastAsia="ro-RO"/>
        </w:rPr>
        <w:t xml:space="preserve">Legea nr. </w:t>
      </w:r>
      <w:hyperlink r:id="rId8" w:history="1">
        <w:r w:rsidRPr="0001008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26/1990</w:t>
        </w:r>
      </w:hyperlink>
      <w:r w:rsidRPr="00010086">
        <w:rPr>
          <w:rFonts w:ascii="Verdana" w:eastAsia="Times New Roman" w:hAnsi="Verdana" w:cs="Times New Roman"/>
          <w:lang w:eastAsia="ro-RO"/>
        </w:rPr>
        <w:t xml:space="preserve"> privind registrul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, republicată în Monitorul Oficial al României, Partea I, nr. 49 din 4 februarie 1998, cu modificările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completările ulterioare, se modifică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se completează după cum urmează:</w:t>
      </w:r>
    </w:p>
    <w:p w14:paraId="0A398FCC" w14:textId="744362A0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rI|pt1"/>
      <w:r w:rsidRPr="0001008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67909BF" wp14:editId="477BD266">
            <wp:extent cx="96520" cy="96520"/>
            <wp:effectExtent l="0" t="0" r="0" b="0"/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010086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010086">
        <w:rPr>
          <w:rFonts w:ascii="Verdana" w:eastAsia="Times New Roman" w:hAnsi="Verdana" w:cs="Times New Roman"/>
          <w:lang w:eastAsia="ro-RO"/>
        </w:rPr>
        <w:t>La articolul 18, după alineatul (3) se introduce un nou alineat, alineatul (4), cu următorul cuprins:</w:t>
      </w:r>
    </w:p>
    <w:p w14:paraId="5D4E3716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rI|pt1|pa1"/>
      <w:bookmarkEnd w:id="4"/>
      <w:r w:rsidRPr="00010086">
        <w:rPr>
          <w:rFonts w:ascii="Verdana" w:eastAsia="Times New Roman" w:hAnsi="Verdana" w:cs="Times New Roman"/>
          <w:lang w:eastAsia="ro-RO"/>
        </w:rPr>
        <w:t xml:space="preserve">"(4) În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absenţa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comerciantului persoană fizică, respectiv a reprezentantului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asociaţiei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familiale, semnătura acestuia poate fi înlocuită prin prezentarea la registrul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, de către avocat, a împuternicirii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avocaţiale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care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conţine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semnătura clientului, respectiv a comerciantului persoană fizică sau a reprezentantului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asociaţiei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familiale. Semnătura persoanei fizice trebuie dată personal în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faţa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avocatului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va fi folosită în întreaga activitate a comerciantului persoană fizică, respectiv a reprezentantului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asociaţiei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familiale."</w:t>
      </w:r>
    </w:p>
    <w:p w14:paraId="1CA426C1" w14:textId="156D27E0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rI|pt2"/>
      <w:r w:rsidRPr="0001008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C77D6A6" wp14:editId="305DB172">
            <wp:extent cx="96520" cy="96520"/>
            <wp:effectExtent l="0" t="0" r="0" b="0"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010086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010086">
        <w:rPr>
          <w:rFonts w:ascii="Verdana" w:eastAsia="Times New Roman" w:hAnsi="Verdana" w:cs="Times New Roman"/>
          <w:lang w:eastAsia="ro-RO"/>
        </w:rPr>
        <w:t xml:space="preserve">La articolul 19, alineatul (2) se modifică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va avea următorul cuprins:</w:t>
      </w:r>
    </w:p>
    <w:p w14:paraId="606F72D5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rI|pt2|pa1"/>
      <w:bookmarkEnd w:id="6"/>
      <w:r w:rsidRPr="00010086">
        <w:rPr>
          <w:rFonts w:ascii="Verdana" w:eastAsia="Times New Roman" w:hAnsi="Verdana" w:cs="Times New Roman"/>
          <w:lang w:eastAsia="ro-RO"/>
        </w:rPr>
        <w:t xml:space="preserve">"(2) Dovedirea specimenului de semnătură a administratorilor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, după caz, a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reprezentanţilor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societăţilor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, precum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a persoanelor împuternicite în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legii să reprezinte regiile autonome sau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organizaţiile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cooperatiste se face cu respectarea prevederilor art. 18 alin. (2)-(4)."</w:t>
      </w:r>
    </w:p>
    <w:p w14:paraId="2E95427A" w14:textId="119B4544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rII"/>
      <w:r w:rsidRPr="0001008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C729E96" wp14:editId="6D5FDC81">
            <wp:extent cx="96520" cy="96520"/>
            <wp:effectExtent l="0" t="0" r="0" b="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010086">
        <w:rPr>
          <w:rFonts w:ascii="Verdana" w:eastAsia="Times New Roman" w:hAnsi="Verdana" w:cs="Times New Roman"/>
          <w:b/>
          <w:bCs/>
          <w:color w:val="0000AF"/>
          <w:lang w:eastAsia="ro-RO"/>
        </w:rPr>
        <w:t>Art. II</w:t>
      </w:r>
    </w:p>
    <w:p w14:paraId="2F2407C8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rII|pa1"/>
      <w:bookmarkEnd w:id="8"/>
      <w:r w:rsidRPr="00010086">
        <w:rPr>
          <w:rFonts w:ascii="Verdana" w:eastAsia="Times New Roman" w:hAnsi="Verdana" w:cs="Times New Roman"/>
          <w:lang w:eastAsia="ro-RO"/>
        </w:rPr>
        <w:t xml:space="preserve">- La articolul 56 din Legea nr. </w:t>
      </w:r>
      <w:hyperlink r:id="rId9" w:history="1">
        <w:r w:rsidRPr="0001008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129/2019</w:t>
        </w:r>
      </w:hyperlink>
      <w:r w:rsidRPr="00010086">
        <w:rPr>
          <w:rFonts w:ascii="Verdana" w:eastAsia="Times New Roman" w:hAnsi="Verdana" w:cs="Times New Roman"/>
          <w:lang w:eastAsia="ro-RO"/>
        </w:rPr>
        <w:t xml:space="preserve"> pentru prevenirea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combaterea spălării banilor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finanţării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terorismului, precum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pentru modificarea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completarea unor acte normative, publicată în Monitorul Oficial al României, Partea I, nr. 589 din 18 iulie 2019, cu modificările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completările ulterioare, alineatul (5) se modifică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va avea următorul cuprins:</w:t>
      </w:r>
    </w:p>
    <w:p w14:paraId="144B45BF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rII|pa2"/>
      <w:bookmarkEnd w:id="9"/>
      <w:r w:rsidRPr="00010086">
        <w:rPr>
          <w:rFonts w:ascii="Verdana" w:eastAsia="Times New Roman" w:hAnsi="Verdana" w:cs="Times New Roman"/>
          <w:lang w:eastAsia="ro-RO"/>
        </w:rPr>
        <w:t xml:space="preserve">"(5)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prevăzută la alin. (1) se poate da în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faţa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reprezentantului oficiului registrului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sau se poate depune, personal sau prin reprezentant, având dată certă, dată de notarul public ori atestată de avocat."</w:t>
      </w:r>
    </w:p>
    <w:p w14:paraId="26BF6BCF" w14:textId="047BB35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III"/>
      <w:r w:rsidRPr="0001008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43A92C4" wp14:editId="7DA6D664">
            <wp:extent cx="96520" cy="9652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I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010086">
        <w:rPr>
          <w:rFonts w:ascii="Verdana" w:eastAsia="Times New Roman" w:hAnsi="Verdana" w:cs="Times New Roman"/>
          <w:b/>
          <w:bCs/>
          <w:color w:val="0000AF"/>
          <w:lang w:eastAsia="ro-RO"/>
        </w:rPr>
        <w:t>Art. III</w:t>
      </w:r>
    </w:p>
    <w:p w14:paraId="18979940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III|pa1"/>
      <w:bookmarkEnd w:id="11"/>
      <w:r w:rsidRPr="00010086">
        <w:rPr>
          <w:rFonts w:ascii="Verdana" w:eastAsia="Times New Roman" w:hAnsi="Verdana" w:cs="Times New Roman"/>
          <w:lang w:eastAsia="ro-RO"/>
        </w:rPr>
        <w:t xml:space="preserve">Legea nr. </w:t>
      </w:r>
      <w:hyperlink r:id="rId10" w:tooltip="privind cazierul judiciar - REPUBLICARE (act publicat in M.Of. 777 din 13-noi-2009)" w:history="1">
        <w:r w:rsidRPr="0001008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290/2004</w:t>
        </w:r>
      </w:hyperlink>
      <w:r w:rsidRPr="00010086">
        <w:rPr>
          <w:rFonts w:ascii="Verdana" w:eastAsia="Times New Roman" w:hAnsi="Verdana" w:cs="Times New Roman"/>
          <w:lang w:eastAsia="ro-RO"/>
        </w:rPr>
        <w:t xml:space="preserve"> privind cazierul judiciar, republicată în Monitorul Oficial al României, Partea I, nr. 777 din 13 noiembrie 2009, cu modificările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completările ulterioare, se modifică după cum urmează:</w:t>
      </w:r>
    </w:p>
    <w:p w14:paraId="0ADEF6CF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III|pa2"/>
      <w:bookmarkEnd w:id="12"/>
      <w:r w:rsidRPr="00010086">
        <w:rPr>
          <w:rFonts w:ascii="Verdana" w:eastAsia="Times New Roman" w:hAnsi="Verdana" w:cs="Times New Roman"/>
          <w:lang w:eastAsia="ro-RO"/>
        </w:rPr>
        <w:t xml:space="preserve">- La articolul 31, litera a) a alineatului (1)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alineatul (2) se modifică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vor avea următorul cuprins:</w:t>
      </w:r>
    </w:p>
    <w:p w14:paraId="26AF0C69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III|pa3"/>
      <w:bookmarkEnd w:id="13"/>
      <w:r w:rsidRPr="00010086">
        <w:rPr>
          <w:rFonts w:ascii="Verdana" w:eastAsia="Times New Roman" w:hAnsi="Verdana" w:cs="Times New Roman"/>
          <w:lang w:eastAsia="ro-RO"/>
        </w:rPr>
        <w:t xml:space="preserve">"a) în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ţară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, de către avocatul persoanei fizice în baza împuternicirii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avocaţiale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emise cu respectarea prevederilor Legii nr. </w:t>
      </w:r>
      <w:hyperlink r:id="rId11" w:history="1">
        <w:r w:rsidRPr="0001008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51/1995</w:t>
        </w:r>
      </w:hyperlink>
      <w:r w:rsidRPr="00010086">
        <w:rPr>
          <w:rFonts w:ascii="Verdana" w:eastAsia="Times New Roman" w:hAnsi="Verdana" w:cs="Times New Roman"/>
          <w:lang w:eastAsia="ro-RO"/>
        </w:rPr>
        <w:t xml:space="preserve"> pentru organizarea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funcţionarea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profesiei de avocat, republicată, cu modificările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</w:t>
      </w:r>
      <w:hyperlink r:id="rId12" w:tooltip="al PROFESIEI DE AVOCAT (act publicat in M.Of. 898 din 19-dec-2011)" w:history="1">
        <w:r w:rsidRPr="0001008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Statutului profesiei de avocat</w:t>
        </w:r>
      </w:hyperlink>
      <w:r w:rsidRPr="00010086">
        <w:rPr>
          <w:rFonts w:ascii="Verdana" w:eastAsia="Times New Roman" w:hAnsi="Verdana" w:cs="Times New Roman"/>
          <w:lang w:eastAsia="ro-RO"/>
        </w:rPr>
        <w:t xml:space="preserve">, adoptat prin Hotărârea Consiliului Uniunii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a Barourilor din România nr. </w:t>
      </w:r>
      <w:hyperlink r:id="rId13" w:history="1">
        <w:r w:rsidRPr="0001008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64/2011</w:t>
        </w:r>
      </w:hyperlink>
      <w:r w:rsidRPr="00010086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completările ulterioare, sau, după caz, de alt împuternicit, pe baza unei procuri autentificate de către notarul public;</w:t>
      </w:r>
    </w:p>
    <w:p w14:paraId="247BEE3D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III|pa4"/>
      <w:bookmarkEnd w:id="14"/>
      <w:r w:rsidRPr="00010086">
        <w:rPr>
          <w:rFonts w:ascii="Verdana" w:eastAsia="Times New Roman" w:hAnsi="Verdana" w:cs="Times New Roman"/>
          <w:lang w:eastAsia="ro-RO"/>
        </w:rPr>
        <w:t>..............................................................................</w:t>
      </w:r>
    </w:p>
    <w:p w14:paraId="416F68AF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III|pa5"/>
      <w:bookmarkEnd w:id="15"/>
      <w:r w:rsidRPr="00010086">
        <w:rPr>
          <w:rFonts w:ascii="Verdana" w:eastAsia="Times New Roman" w:hAnsi="Verdana" w:cs="Times New Roman"/>
          <w:lang w:eastAsia="ro-RO"/>
        </w:rPr>
        <w:t xml:space="preserve">(2)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Conţinutul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procurii, respectiv al împuternicirii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avocaţiale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trebuie formulat în termeni clari, din care să rezulte persoana sau, după caz, avocatul care a fost mandatat, scopul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durata mandatului."</w:t>
      </w:r>
    </w:p>
    <w:p w14:paraId="6A0FE933" w14:textId="6BD3EC1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rIV"/>
      <w:r w:rsidRPr="00010086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061D64D7" wp14:editId="7E8C6A38">
            <wp:extent cx="96520" cy="9652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V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010086">
        <w:rPr>
          <w:rFonts w:ascii="Verdana" w:eastAsia="Times New Roman" w:hAnsi="Verdana" w:cs="Times New Roman"/>
          <w:b/>
          <w:bCs/>
          <w:color w:val="0000AF"/>
          <w:lang w:eastAsia="ro-RO"/>
        </w:rPr>
        <w:t>Art. IV</w:t>
      </w:r>
    </w:p>
    <w:p w14:paraId="7F722B61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rIV|pa1"/>
      <w:bookmarkEnd w:id="17"/>
      <w:r w:rsidRPr="00010086">
        <w:rPr>
          <w:rFonts w:ascii="Verdana" w:eastAsia="Times New Roman" w:hAnsi="Verdana" w:cs="Times New Roman"/>
          <w:lang w:eastAsia="ro-RO"/>
        </w:rPr>
        <w:t xml:space="preserve">La articolul 10 din Legea nr. </w:t>
      </w:r>
      <w:hyperlink r:id="rId14" w:history="1">
        <w:r w:rsidRPr="0001008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119/1996</w:t>
        </w:r>
      </w:hyperlink>
      <w:r w:rsidRPr="00010086">
        <w:rPr>
          <w:rFonts w:ascii="Verdana" w:eastAsia="Times New Roman" w:hAnsi="Verdana" w:cs="Times New Roman"/>
          <w:lang w:eastAsia="ro-RO"/>
        </w:rPr>
        <w:t xml:space="preserve"> cu privire la actele de stare civilă, republicată în Monitorul Oficial al României, Partea I, nr. 339 din 18 mai 2012, cu </w:t>
      </w:r>
      <w:r w:rsidRPr="00010086">
        <w:rPr>
          <w:rFonts w:ascii="Verdana" w:eastAsia="Times New Roman" w:hAnsi="Verdana" w:cs="Times New Roman"/>
          <w:lang w:eastAsia="ro-RO"/>
        </w:rPr>
        <w:lastRenderedPageBreak/>
        <w:t xml:space="preserve">modificările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completările ulterioare, alineatul (1) se modifică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va avea următorul cuprins:</w:t>
      </w:r>
    </w:p>
    <w:p w14:paraId="59F730FB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rIV|pa2"/>
      <w:bookmarkEnd w:id="18"/>
      <w:r w:rsidRPr="00010086">
        <w:rPr>
          <w:rFonts w:ascii="Verdana" w:eastAsia="Times New Roman" w:hAnsi="Verdana" w:cs="Times New Roman"/>
          <w:lang w:eastAsia="ro-RO"/>
        </w:rPr>
        <w:t>"Art. 10</w:t>
      </w:r>
    </w:p>
    <w:p w14:paraId="7B1EFA0D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rIV|pa3"/>
      <w:bookmarkEnd w:id="19"/>
      <w:r w:rsidRPr="00010086">
        <w:rPr>
          <w:rFonts w:ascii="Verdana" w:eastAsia="Times New Roman" w:hAnsi="Verdana" w:cs="Times New Roman"/>
          <w:lang w:eastAsia="ro-RO"/>
        </w:rPr>
        <w:t xml:space="preserve">(1) Pe baza actelor de stare civilă se eliberează certificate de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naştere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de căsătorie titularilor sau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reprezentanţilor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legali ai acestora, iar certificatele de deces, membrilor familiei sau altor persoane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îndreptăţite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. Certificatele de stare civilă se pot elibera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altor persoane împuternicite prin procură specială, precum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avocaţilor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împuterniciţi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de către titulari sau de către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reprezentanţii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legali ai acestora, în baza împuternicirii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avocaţiale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emise cu respectarea prevederilor Legii nr. </w:t>
      </w:r>
      <w:hyperlink r:id="rId15" w:history="1">
        <w:r w:rsidRPr="0001008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51/1995</w:t>
        </w:r>
      </w:hyperlink>
      <w:r w:rsidRPr="00010086">
        <w:rPr>
          <w:rFonts w:ascii="Verdana" w:eastAsia="Times New Roman" w:hAnsi="Verdana" w:cs="Times New Roman"/>
          <w:lang w:eastAsia="ro-RO"/>
        </w:rPr>
        <w:t xml:space="preserve"> pentru organizarea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funcţionarea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profesiei de avocat, republicată, cu modificările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completările ulterioare,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</w:t>
      </w:r>
      <w:hyperlink r:id="rId16" w:history="1">
        <w:r w:rsidRPr="0001008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Statutului profesiei de avocat</w:t>
        </w:r>
      </w:hyperlink>
      <w:r w:rsidRPr="00010086">
        <w:rPr>
          <w:rFonts w:ascii="Verdana" w:eastAsia="Times New Roman" w:hAnsi="Verdana" w:cs="Times New Roman"/>
          <w:lang w:eastAsia="ro-RO"/>
        </w:rPr>
        <w:t xml:space="preserve">, adoptat prin Hotărârea Consiliului Uniunii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Naţionale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a Barourilor din România nr. </w:t>
      </w:r>
      <w:hyperlink r:id="rId17" w:history="1">
        <w:r w:rsidRPr="00010086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64/2011</w:t>
        </w:r>
      </w:hyperlink>
      <w:r w:rsidRPr="00010086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 xml:space="preserve"> completările ulterioare. În certificatele de stare civilă nu vor fi preluate titlurile de </w:t>
      </w:r>
      <w:proofErr w:type="spellStart"/>
      <w:r w:rsidRPr="00010086">
        <w:rPr>
          <w:rFonts w:ascii="Verdana" w:eastAsia="Times New Roman" w:hAnsi="Verdana" w:cs="Times New Roman"/>
          <w:lang w:eastAsia="ro-RO"/>
        </w:rPr>
        <w:t>nobleţe</w:t>
      </w:r>
      <w:proofErr w:type="spellEnd"/>
      <w:r w:rsidRPr="00010086">
        <w:rPr>
          <w:rFonts w:ascii="Verdana" w:eastAsia="Times New Roman" w:hAnsi="Verdana" w:cs="Times New Roman"/>
          <w:lang w:eastAsia="ro-RO"/>
        </w:rPr>
        <w:t>, chiar dacă au fost înscrise în unele acte de stare civilă."</w:t>
      </w:r>
    </w:p>
    <w:p w14:paraId="6E6BC200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pa2"/>
      <w:bookmarkEnd w:id="20"/>
      <w:r w:rsidRPr="00010086">
        <w:rPr>
          <w:rFonts w:ascii="Verdana" w:eastAsia="Times New Roman" w:hAnsi="Verdana" w:cs="Times New Roman"/>
          <w:lang w:eastAsia="ro-RO"/>
        </w:rPr>
        <w:t>-****-</w:t>
      </w:r>
    </w:p>
    <w:p w14:paraId="36FE6ED0" w14:textId="3D5E93B5" w:rsid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lang w:eastAsia="ro-RO"/>
        </w:rPr>
      </w:pPr>
      <w:bookmarkStart w:id="21" w:name="do|pa3"/>
      <w:bookmarkEnd w:id="21"/>
      <w:r w:rsidRPr="00010086">
        <w:rPr>
          <w:rFonts w:ascii="Verdana" w:eastAsia="Times New Roman" w:hAnsi="Verdana" w:cs="Times New Roman"/>
          <w:i/>
          <w:iCs/>
          <w:lang w:eastAsia="ro-RO"/>
        </w:rPr>
        <w:t xml:space="preserve">Această lege a fost adoptată de Parlamentul României, cu respectarea prevederilor art. 75 </w:t>
      </w:r>
      <w:proofErr w:type="spellStart"/>
      <w:r w:rsidRPr="00010086">
        <w:rPr>
          <w:rFonts w:ascii="Verdana" w:eastAsia="Times New Roman" w:hAnsi="Verdana" w:cs="Times New Roman"/>
          <w:i/>
          <w:iCs/>
          <w:lang w:eastAsia="ro-RO"/>
        </w:rPr>
        <w:t>şi</w:t>
      </w:r>
      <w:proofErr w:type="spellEnd"/>
      <w:r w:rsidRPr="00010086">
        <w:rPr>
          <w:rFonts w:ascii="Verdana" w:eastAsia="Times New Roman" w:hAnsi="Verdana" w:cs="Times New Roman"/>
          <w:i/>
          <w:iCs/>
          <w:lang w:eastAsia="ro-RO"/>
        </w:rPr>
        <w:t xml:space="preserve"> ale art. 76 alin. (2) din </w:t>
      </w:r>
      <w:hyperlink r:id="rId18" w:history="1">
        <w:proofErr w:type="spellStart"/>
        <w:r w:rsidRPr="00010086">
          <w:rPr>
            <w:rFonts w:ascii="Verdana" w:eastAsia="Times New Roman" w:hAnsi="Verdana" w:cs="Times New Roman"/>
            <w:b/>
            <w:bCs/>
            <w:i/>
            <w:iCs/>
            <w:color w:val="333399"/>
            <w:u w:val="single"/>
            <w:lang w:eastAsia="ro-RO"/>
          </w:rPr>
          <w:t>Constituţia</w:t>
        </w:r>
        <w:proofErr w:type="spellEnd"/>
        <w:r w:rsidRPr="00010086">
          <w:rPr>
            <w:rFonts w:ascii="Verdana" w:eastAsia="Times New Roman" w:hAnsi="Verdana" w:cs="Times New Roman"/>
            <w:b/>
            <w:bCs/>
            <w:i/>
            <w:iCs/>
            <w:color w:val="333399"/>
            <w:u w:val="single"/>
            <w:lang w:eastAsia="ro-RO"/>
          </w:rPr>
          <w:t xml:space="preserve"> României</w:t>
        </w:r>
      </w:hyperlink>
      <w:r w:rsidRPr="00010086">
        <w:rPr>
          <w:rFonts w:ascii="Verdana" w:eastAsia="Times New Roman" w:hAnsi="Verdana" w:cs="Times New Roman"/>
          <w:i/>
          <w:iCs/>
          <w:lang w:eastAsia="ro-RO"/>
        </w:rPr>
        <w:t>, republicată.</w:t>
      </w:r>
    </w:p>
    <w:p w14:paraId="705551D4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010086" w:rsidRPr="00010086" w14:paraId="75F264BB" w14:textId="77777777" w:rsidTr="00010086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59EE024B" w14:textId="77777777" w:rsidR="00010086" w:rsidRPr="00010086" w:rsidRDefault="00010086" w:rsidP="000100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2" w:name="do|pa4"/>
            <w:bookmarkEnd w:id="22"/>
            <w:r w:rsidRPr="0001008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p. PREŞEDINTELE CAMEREI DEPUTAŢILOR,</w:t>
            </w:r>
          </w:p>
          <w:p w14:paraId="1ADAE432" w14:textId="77777777" w:rsidR="00010086" w:rsidRPr="00010086" w:rsidRDefault="00010086" w:rsidP="000100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01008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FLORIN IORDACHE</w:t>
            </w:r>
          </w:p>
          <w:p w14:paraId="5A7109AF" w14:textId="77777777" w:rsidR="00010086" w:rsidRPr="00010086" w:rsidRDefault="00010086" w:rsidP="000100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01008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p. PREŞEDINTELE SENATULUI,</w:t>
            </w:r>
          </w:p>
          <w:p w14:paraId="3D8D6F44" w14:textId="77777777" w:rsidR="00010086" w:rsidRPr="00010086" w:rsidRDefault="00010086" w:rsidP="000100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01008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ROBERT-MARIUS CAZANCIUC</w:t>
            </w:r>
          </w:p>
        </w:tc>
      </w:tr>
    </w:tbl>
    <w:p w14:paraId="6F0F62C0" w14:textId="77777777" w:rsidR="00010086" w:rsidRPr="00010086" w:rsidRDefault="00010086" w:rsidP="0001008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pa5"/>
      <w:bookmarkEnd w:id="23"/>
      <w:r w:rsidRPr="00010086">
        <w:rPr>
          <w:rFonts w:ascii="Verdana" w:eastAsia="Times New Roman" w:hAnsi="Verdana" w:cs="Times New Roman"/>
          <w:lang w:eastAsia="ro-RO"/>
        </w:rPr>
        <w:t>Publicat în Monitorul Oficial cu numărul 869 din data de 23 septembrie 2020</w:t>
      </w:r>
    </w:p>
    <w:sectPr w:rsidR="00010086" w:rsidRPr="0001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76"/>
    <w:rsid w:val="00010086"/>
    <w:rsid w:val="005C1E8E"/>
    <w:rsid w:val="00997A04"/>
    <w:rsid w:val="00B41976"/>
    <w:rsid w:val="00D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2E78"/>
  <w15:chartTrackingRefBased/>
  <w15:docId w15:val="{1A661C32-3274-44F8-9AAE-DC19593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086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010086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010086"/>
  </w:style>
  <w:style w:type="character" w:customStyle="1" w:styleId="ar1">
    <w:name w:val="ar1"/>
    <w:basedOn w:val="DefaultParagraphFont"/>
    <w:rsid w:val="00010086"/>
    <w:rPr>
      <w:b/>
      <w:bCs/>
      <w:color w:val="0000AF"/>
      <w:sz w:val="22"/>
      <w:szCs w:val="22"/>
    </w:rPr>
  </w:style>
  <w:style w:type="character" w:customStyle="1" w:styleId="pt1">
    <w:name w:val="pt1"/>
    <w:basedOn w:val="DefaultParagraphFont"/>
    <w:rsid w:val="00010086"/>
    <w:rPr>
      <w:b/>
      <w:bCs/>
      <w:color w:val="8F0000"/>
    </w:rPr>
  </w:style>
  <w:style w:type="character" w:customStyle="1" w:styleId="tpt1">
    <w:name w:val="tpt1"/>
    <w:basedOn w:val="DefaultParagraphFont"/>
    <w:rsid w:val="00010086"/>
  </w:style>
  <w:style w:type="character" w:styleId="Emphasis">
    <w:name w:val="Emphasis"/>
    <w:basedOn w:val="DefaultParagraphFont"/>
    <w:uiPriority w:val="20"/>
    <w:qFormat/>
    <w:rsid w:val="00010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0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90481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35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12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32676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0787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38039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5414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5437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865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645434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55639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832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456898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78601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849035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58705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355365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74911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886485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37679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985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11735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80648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293136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586563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791225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8647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67668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747727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53398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581150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91192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ice.buciu\sintact%204.0\cache\Legislatie\temp133116\00018404.htm" TargetMode="External"/><Relationship Id="rId13" Type="http://schemas.openxmlformats.org/officeDocument/2006/relationships/hyperlink" Target="file:///C:\Users\alice.buciu\sintact%204.0\cache\Legislatie\temp133116\00144814.htm" TargetMode="External"/><Relationship Id="rId18" Type="http://schemas.openxmlformats.org/officeDocument/2006/relationships/hyperlink" Target="file:///C:\Users\alice.buciu\sintact%204.0\cache\Legislatie\temp133116\00068397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file:///C:\Users\alice.buciu\sintact%204.0\cache\Legislatie\temp133116\00144815.htm" TargetMode="External"/><Relationship Id="rId17" Type="http://schemas.openxmlformats.org/officeDocument/2006/relationships/hyperlink" Target="file:///C:\Users\alice.buciu\sintact%204.0\cache\Legislatie\temp133116\00144814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lice.buciu\sintact%204.0\cache\Legislatie\temp133116\00144815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lice.buciu\sintact%204.0\cache\Legislatie\temp133116\00212536.HTML" TargetMode="External"/><Relationship Id="rId11" Type="http://schemas.openxmlformats.org/officeDocument/2006/relationships/hyperlink" Target="file:///C:\Users\alice.buciu\sintact%204.0\cache\Legislatie\temp133116\00193811.htm" TargetMode="External"/><Relationship Id="rId5" Type="http://schemas.openxmlformats.org/officeDocument/2006/relationships/hyperlink" Target="file:///C:\Users\alice.buciu\sintact%204.0\cache\Legislatie\temp133116\00212537.htm" TargetMode="External"/><Relationship Id="rId15" Type="http://schemas.openxmlformats.org/officeDocument/2006/relationships/hyperlink" Target="file:///C:\Users\alice.buciu\sintact%204.0\cache\Legislatie\temp133116\00193811.htm" TargetMode="External"/><Relationship Id="rId10" Type="http://schemas.openxmlformats.org/officeDocument/2006/relationships/hyperlink" Target="file:///C:\Users\alice.buciu\sintact%204.0\cache\Legislatie\temp133116\00126952.ht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file:///C:\Users\alice.buciu\sintact%204.0\cache\Legislatie\temp133116\00202804.htm" TargetMode="External"/><Relationship Id="rId14" Type="http://schemas.openxmlformats.org/officeDocument/2006/relationships/hyperlink" Target="file:///C:\Users\alice.buciu\sintact%204.0\cache\Legislatie\temp133116\0014825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Buciu</dc:creator>
  <cp:keywords/>
  <dc:description/>
  <cp:lastModifiedBy>Alice Buciu</cp:lastModifiedBy>
  <cp:revision>2</cp:revision>
  <dcterms:created xsi:type="dcterms:W3CDTF">2020-09-24T11:35:00Z</dcterms:created>
  <dcterms:modified xsi:type="dcterms:W3CDTF">2020-09-24T11:35:00Z</dcterms:modified>
</cp:coreProperties>
</file>